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D4E4" w14:textId="1E692CE5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sz w:val="28"/>
          <w:szCs w:val="32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sz w:val="28"/>
          <w:szCs w:val="32"/>
          <w:lang w:eastAsia="en-GB"/>
          <w14:ligatures w14:val="none"/>
        </w:rPr>
        <w:t>PHILIP BELL, MIH</w:t>
      </w:r>
    </w:p>
    <w:p w14:paraId="012AEE5F" w14:textId="77777777" w:rsidR="00350C17" w:rsidRPr="00FF3CD3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Transformational Hospitality Leader | Multi-Asset Portfolio Operator | Cultural Architect | Commercial Strategist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 xml:space="preserve">Stony Stratford, Buckinghamshire • 07795 688462 • </w:t>
      </w:r>
      <w:hyperlink r:id="rId8" w:history="1">
        <w:r w:rsidRPr="00350C17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pmbell16@gmail.com</w:t>
        </w:r>
      </w:hyperlink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LinkedIn: linkedin.com/in/philip-bell-16a121b</w:t>
      </w:r>
    </w:p>
    <w:p w14:paraId="6707672F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716C4F9D">
          <v:rect id="_x0000_i1026" style="width:0;height:1.5pt" o:hralign="center" o:hrstd="t" o:hr="t" fillcolor="#a0a0a0" stroked="f"/>
        </w:pict>
      </w:r>
    </w:p>
    <w:p w14:paraId="220E6A84" w14:textId="027A515E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t>EXECUTIVE PROFILE</w:t>
      </w:r>
    </w:p>
    <w:p w14:paraId="1E19133C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A results-driven senior hospitality executive with a proven record of 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turning around underperforming assets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, 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elevating employee engagement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, and 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delivering superior commercial performance across multi-site portfolios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.</w:t>
      </w:r>
    </w:p>
    <w:p w14:paraId="4303B100" w14:textId="7C38C196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Philip brings </w:t>
      </w:r>
      <w:r w:rsidR="00FF3CD3"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over 30 years of leadership experience across global brands, private equity platforms, independent owners, and distressed portfolios, consistently delivering measurable improvements in EBITDA, NOI, TrevPAR, cultural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 xml:space="preserve"> alignment, asset valuation, and operational resilience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.</w:t>
      </w:r>
    </w:p>
    <w:p w14:paraId="7FAA1C6C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A decisive, people-centric leader, he excels in environments requiring 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strategic transformation, operational discipline, rapid performance recovery, and large-scale organisational change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.</w:t>
      </w:r>
    </w:p>
    <w:p w14:paraId="7E4747F4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633739DC">
          <v:rect id="_x0000_i1027" style="width:0;height:1.5pt" o:hralign="center" o:hrstd="t" o:hr="t" fillcolor="#a0a0a0" stroked="f"/>
        </w:pict>
      </w:r>
    </w:p>
    <w:p w14:paraId="0FA0497D" w14:textId="12DFE05D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t>CORE LEADERSHIP STRENGTHS</w:t>
      </w:r>
    </w:p>
    <w:p w14:paraId="132FFEFA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Leadership &amp; Culture Transformation</w:t>
      </w:r>
    </w:p>
    <w:p w14:paraId="335589FF" w14:textId="77777777" w:rsidR="00350C17" w:rsidRPr="00FF3CD3" w:rsidRDefault="00350C17" w:rsidP="00FF3CD3">
      <w:pPr>
        <w:pStyle w:val="ListParagraph"/>
        <w:numPr>
          <w:ilvl w:val="0"/>
          <w:numId w:val="13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Builds high-performance, accountable teams that consistently exceed KPIs.</w:t>
      </w:r>
    </w:p>
    <w:p w14:paraId="739BD8EB" w14:textId="77777777" w:rsidR="00350C17" w:rsidRPr="00FF3CD3" w:rsidRDefault="00350C17" w:rsidP="00FF3CD3">
      <w:pPr>
        <w:pStyle w:val="ListParagraph"/>
        <w:numPr>
          <w:ilvl w:val="0"/>
          <w:numId w:val="13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Drives trust-based cultures, coaching frameworks, succession pipelines, and engagement systems.</w:t>
      </w:r>
    </w:p>
    <w:p w14:paraId="3CDDB50B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Commercial &amp; Asset Performance</w:t>
      </w:r>
    </w:p>
    <w:p w14:paraId="207742A3" w14:textId="41861271" w:rsidR="00350C17" w:rsidRPr="00350C17" w:rsidRDefault="00350C17" w:rsidP="00FF3CD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Expert in revenue strategy, NOI uplift, cost optimisation, GOP delivery, T</w:t>
      </w:r>
      <w:r w:rsidR="00046004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</w:t>
      </w: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evPAR growth.</w:t>
      </w:r>
    </w:p>
    <w:p w14:paraId="1A442050" w14:textId="77777777" w:rsidR="00350C17" w:rsidRPr="00350C17" w:rsidRDefault="00350C17" w:rsidP="00FF3CD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Maximises asset value through repositioning, brand alignment, and performance modelling.</w:t>
      </w:r>
    </w:p>
    <w:p w14:paraId="42986046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Operational Excellence &amp; Multi-Site Governance</w:t>
      </w:r>
    </w:p>
    <w:p w14:paraId="6AB234A5" w14:textId="77777777" w:rsidR="00350C17" w:rsidRPr="00FF3CD3" w:rsidRDefault="00350C17" w:rsidP="00FF3CD3">
      <w:pPr>
        <w:pStyle w:val="ListParagraph"/>
        <w:numPr>
          <w:ilvl w:val="0"/>
          <w:numId w:val="18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Leads complex operations up to </w:t>
      </w: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21 hotels</w:t>
      </w: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, </w:t>
      </w: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£180m+ turnover</w:t>
      </w: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, </w:t>
      </w: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1,000+ staff</w:t>
      </w: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.</w:t>
      </w:r>
    </w:p>
    <w:p w14:paraId="519A8844" w14:textId="77777777" w:rsidR="00350C17" w:rsidRPr="00FF3CD3" w:rsidRDefault="00350C17" w:rsidP="00FF3CD3">
      <w:pPr>
        <w:pStyle w:val="ListParagraph"/>
        <w:numPr>
          <w:ilvl w:val="0"/>
          <w:numId w:val="18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Advanced experience in </w:t>
      </w: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refurbishments, rebrands, openings, capital planning</w:t>
      </w: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and crisis leadership.</w:t>
      </w:r>
    </w:p>
    <w:p w14:paraId="7D4640D9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58B3A8A1">
          <v:rect id="_x0000_i1232" style="width:0;height:1.5pt" o:hralign="center" o:hrstd="t" o:hr="t" fillcolor="#a0a0a0" stroked="f"/>
        </w:pict>
      </w:r>
    </w:p>
    <w:p w14:paraId="0B32BF1E" w14:textId="039ED150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t>SIGNATURE CAREER ACHIEVEMENTS</w:t>
      </w:r>
    </w:p>
    <w:p w14:paraId="15D81A5D" w14:textId="77777777" w:rsidR="00FF3CD3" w:rsidRPr="00FF3CD3" w:rsidRDefault="00350C17" w:rsidP="00FF3CD3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£188m Asset Value Created</w:t>
      </w:r>
    </w:p>
    <w:p w14:paraId="1D8E5BA0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WIN: Led operational transition and disposal of 18 assets.</w:t>
      </w:r>
    </w:p>
    <w:p w14:paraId="43B701CD" w14:textId="10A8D39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HOW: Implemented forecasting controls, market repositioning &amp; </w:t>
      </w:r>
      <w:r w:rsidR="00FF3CD3"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sales-readiness</w:t>
      </w: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processes.</w:t>
      </w:r>
    </w:p>
    <w:p w14:paraId="43253894" w14:textId="67264F24" w:rsidR="00350C17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OUTCOME: Achieved optimised exit values across the portfolio.</w:t>
      </w:r>
    </w:p>
    <w:p w14:paraId="3D1898FB" w14:textId="77777777" w:rsidR="00FF3CD3" w:rsidRPr="00FF3CD3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£35m Revenue + £18.4m Profit (Copthorne Tara, 2024)</w:t>
      </w:r>
    </w:p>
    <w:p w14:paraId="11D9020C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WIN: Delivered the highest financial performance in the hotel’s history.</w:t>
      </w:r>
    </w:p>
    <w:p w14:paraId="37D957DE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HOW: Rebuilt leadership team, redesigned pricing strategy, introduced performance dashboards.</w:t>
      </w:r>
    </w:p>
    <w:p w14:paraId="05F85CC3" w14:textId="314B7BCE" w:rsidR="00350C17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OUTCOME: Full reversal of multiyear underperformance; elevated owner confidence.</w:t>
      </w:r>
    </w:p>
    <w:p w14:paraId="7FE269E3" w14:textId="77777777" w:rsidR="00FF3CD3" w:rsidRPr="00FF3CD3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Multi-Site Operational Leadership</w:t>
      </w:r>
    </w:p>
    <w:p w14:paraId="7D39CA68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WIN: Oversaw 21 hotels and £180m+ revenue portfolio.</w:t>
      </w:r>
    </w:p>
    <w:p w14:paraId="791206A0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HOW: Deployed business planning frameworks, SOP standardisation, and KPI governance.</w:t>
      </w:r>
    </w:p>
    <w:p w14:paraId="240B53E6" w14:textId="1E6DE5B5" w:rsidR="00350C17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OUTCOME: Sustained year-on-year budget delivery and operational stability.</w:t>
      </w:r>
    </w:p>
    <w:p w14:paraId="5BCEE5DE" w14:textId="77777777" w:rsidR="00FF3CD3" w:rsidRPr="00FF3CD3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Olympics 2012 Commercial Leadership</w:t>
      </w:r>
    </w:p>
    <w:p w14:paraId="61A47FD0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WIN: Delivered £35m revenue and £17m EBITDA across two London flagship properties.</w:t>
      </w:r>
    </w:p>
    <w:p w14:paraId="7AE5E51C" w14:textId="77777777" w:rsidR="00FF3CD3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HOW: Introduced resilience planning, workforce optimisation, and demand management.</w:t>
      </w:r>
    </w:p>
    <w:p w14:paraId="122549ED" w14:textId="4BD664CD" w:rsidR="00350C17" w:rsidRPr="00FF3CD3" w:rsidRDefault="00350C17" w:rsidP="00FF3CD3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F3CD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OUTCOME: Exceptional guest satisfaction and full commercial outperformance during peak risk period.</w:t>
      </w:r>
    </w:p>
    <w:p w14:paraId="3B91C138" w14:textId="77777777" w:rsid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7F58FE0E">
          <v:rect id="_x0000_i1233" style="width:0;height:1.5pt" o:hralign="center" o:hrstd="t" o:hr="t" fillcolor="#a0a0a0" stroked="f"/>
        </w:pict>
      </w:r>
    </w:p>
    <w:p w14:paraId="674E01E0" w14:textId="77777777" w:rsidR="00FF3CD3" w:rsidRDefault="00FF3CD3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225E2D71" w14:textId="77777777" w:rsidR="00FF3CD3" w:rsidRDefault="00FF3CD3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49B24D82" w14:textId="77777777" w:rsidR="00046004" w:rsidRDefault="00046004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15DB3530" w14:textId="77777777" w:rsidR="00FF3CD3" w:rsidRDefault="00FF3CD3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61AE5D0E" w14:textId="04AECB17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lastRenderedPageBreak/>
        <w:t>CAREER EXPERIENCE</w:t>
      </w:r>
    </w:p>
    <w:p w14:paraId="7934C882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PHD Asset Management — Co-Founder (2025–Present)</w:t>
      </w:r>
    </w:p>
    <w:p w14:paraId="78FD2F0A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A performance-led asset management platform for hotel owners seeking improved NOI, operational excellence, and brand elevation.</w:t>
      </w:r>
    </w:p>
    <w:p w14:paraId="240290BD" w14:textId="77777777" w:rsidR="00350C17" w:rsidRPr="00350C17" w:rsidRDefault="00350C17" w:rsidP="00FF3CD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Leads strategic reviews, transformation programmes, and performance recovery missions.</w:t>
      </w:r>
    </w:p>
    <w:p w14:paraId="1177711D" w14:textId="77777777" w:rsidR="00350C17" w:rsidRPr="00350C17" w:rsidRDefault="00350C17" w:rsidP="00FF3CD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Advises owners on commercial direction, operating model improvement, and leadership alignment.</w:t>
      </w:r>
    </w:p>
    <w:p w14:paraId="2E3B1FD5" w14:textId="77777777" w:rsidR="00350C17" w:rsidRPr="00350C17" w:rsidRDefault="00350C17" w:rsidP="00FF3CD3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Delivers measurable uplift across culture, margins, guest satisfaction, and operational discipline.</w:t>
      </w:r>
    </w:p>
    <w:p w14:paraId="2EF70B48" w14:textId="1656BFD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5678931C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Millennium &amp; Copthorne Hotels — General Manager, Copthorne Tara (2023–2025)</w:t>
      </w:r>
    </w:p>
    <w:p w14:paraId="6AB07DB9" w14:textId="41455D7F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Turnaround appointment from </w:t>
      </w:r>
      <w:r w:rsidR="00046004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the </w:t>
      </w: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Group Chairman to reverse multi-year underperformance.</w:t>
      </w:r>
    </w:p>
    <w:p w14:paraId="0FD41945" w14:textId="77777777" w:rsidR="00350C17" w:rsidRPr="00350C17" w:rsidRDefault="00350C17" w:rsidP="00FF3CD3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Delivered </w:t>
      </w:r>
      <w:r w:rsidRPr="00350C17">
        <w:rPr>
          <w:rFonts w:ascii="Calibri" w:eastAsia="Times New Roman" w:hAnsi="Calibri" w:cs="Calibri"/>
          <w:b/>
          <w:bCs/>
          <w:kern w:val="0"/>
          <w:sz w:val="16"/>
          <w:szCs w:val="16"/>
          <w:lang w:eastAsia="en-GB"/>
          <w14:ligatures w14:val="none"/>
        </w:rPr>
        <w:t>record revenue (£35m) and profit (£18.4m)</w:t>
      </w: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in 2024.</w:t>
      </w:r>
    </w:p>
    <w:p w14:paraId="56DA3798" w14:textId="1F155ED9" w:rsidR="00350C17" w:rsidRPr="00350C17" w:rsidRDefault="00046004" w:rsidP="00FF3CD3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proofErr w:type="gramStart"/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Restructured operations</w:t>
      </w:r>
      <w:r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,</w:t>
      </w:r>
      <w:proofErr w:type="gramEnd"/>
      <w:r w:rsidR="00350C17"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redesigned commercial strategy, and stabilised cost base.</w:t>
      </w:r>
    </w:p>
    <w:p w14:paraId="0C939FA8" w14:textId="77777777" w:rsidR="00350C17" w:rsidRPr="00350C17" w:rsidRDefault="00350C17" w:rsidP="00FF3CD3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Built a high-accountability leadership culture aligned to brand standards.</w:t>
      </w:r>
    </w:p>
    <w:p w14:paraId="1660B6EB" w14:textId="33F7C2AF" w:rsidR="00350C17" w:rsidRPr="00350C17" w:rsidRDefault="00350C17" w:rsidP="00FF3CD3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Led refurbishment readiness</w:t>
      </w:r>
      <w:r w:rsidR="00046004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,</w:t>
      </w:r>
      <w:r w:rsidRPr="00350C17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including technical services, budgeting, and brand repositioning.</w:t>
      </w:r>
    </w:p>
    <w:p w14:paraId="59A709A0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5C6DD122">
          <v:rect id="_x0000_i1031" style="width:0;height:1.5pt" o:hralign="center" o:hrstd="t" o:hr="t" fillcolor="#a0a0a0" stroked="f"/>
        </w:pict>
      </w:r>
    </w:p>
    <w:p w14:paraId="782921A7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Criterion Hospitality — Head of Hotels (2022–2023)</w:t>
      </w:r>
    </w:p>
    <w:p w14:paraId="5CFCFE66" w14:textId="77777777" w:rsidR="00350C17" w:rsidRPr="00350C17" w:rsidRDefault="00350C17" w:rsidP="00FF3CD3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Designed scalable operating model to grow portfolio from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1,048→9,000 rooms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.</w:t>
      </w:r>
    </w:p>
    <w:p w14:paraId="70B87D46" w14:textId="77777777" w:rsidR="00350C17" w:rsidRPr="00350C17" w:rsidRDefault="00350C17" w:rsidP="00FF3CD3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Built multi-site leadership infrastructure enabling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200–400 rooms opened every 4 months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.</w:t>
      </w:r>
    </w:p>
    <w:p w14:paraId="70AAC7AF" w14:textId="77777777" w:rsidR="00350C17" w:rsidRPr="00350C17" w:rsidRDefault="00350C17" w:rsidP="00FF3CD3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Repositioned F&amp;B outlets into profitable hostel operations in central London.</w:t>
      </w:r>
    </w:p>
    <w:p w14:paraId="62BB7C15" w14:textId="77777777" w:rsidR="00350C17" w:rsidRPr="00350C17" w:rsidRDefault="00350C17" w:rsidP="00FF3CD3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Forecasted division revenue to hit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£100m annualised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.</w:t>
      </w:r>
    </w:p>
    <w:p w14:paraId="47AA9CAC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7BFCEB8D">
          <v:rect id="_x0000_i1032" style="width:0;height:1.5pt" o:hralign="center" o:hrstd="t" o:hr="t" fillcolor="#a0a0a0" stroked="f"/>
        </w:pict>
      </w:r>
    </w:p>
    <w:p w14:paraId="77495DDB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Active Hospitality — Group Operations Director (2019–2022)</w:t>
      </w:r>
    </w:p>
    <w:p w14:paraId="54A27F90" w14:textId="77777777" w:rsidR="00350C17" w:rsidRPr="00350C17" w:rsidRDefault="00350C17" w:rsidP="00FF3CD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Delivered Group strategy, budgets, and operations across multiple assets.</w:t>
      </w:r>
    </w:p>
    <w:p w14:paraId="79048B74" w14:textId="77777777" w:rsidR="00350C17" w:rsidRPr="00350C17" w:rsidRDefault="00350C17" w:rsidP="00FF3CD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Led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£11m capital investment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programme and new hotel openings.</w:t>
      </w:r>
    </w:p>
    <w:p w14:paraId="3E66E0AB" w14:textId="77777777" w:rsidR="00350C17" w:rsidRPr="00350C17" w:rsidRDefault="00350C17" w:rsidP="00FF3CD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Implemented SOPs, ESG frameworks, compliance structures, and reporting systems.</w:t>
      </w:r>
    </w:p>
    <w:p w14:paraId="0BC5DFF5" w14:textId="77777777" w:rsidR="00350C17" w:rsidRPr="00350C17" w:rsidRDefault="00350C17" w:rsidP="00FF3CD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Navigated COVID with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zero redundancies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and full business continuity.</w:t>
      </w:r>
    </w:p>
    <w:p w14:paraId="412D79B1" w14:textId="77777777" w:rsidR="00350C17" w:rsidRPr="00350C17" w:rsidRDefault="00350C17" w:rsidP="00FF3CD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Achieved breakeven opening of new 104-room property during pandemic disruption.</w:t>
      </w:r>
    </w:p>
    <w:p w14:paraId="58EDBDA0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30E57723">
          <v:rect id="_x0000_i1033" style="width:0;height:1.5pt" o:hralign="center" o:hrstd="t" o:hr="t" fillcolor="#a0a0a0" stroked="f"/>
        </w:pict>
      </w:r>
    </w:p>
    <w:p w14:paraId="3390880E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PMB Consultancy — Independent Consultant (2019)</w:t>
      </w:r>
    </w:p>
    <w:p w14:paraId="4AC04E43" w14:textId="77777777" w:rsidR="00350C17" w:rsidRPr="00350C17" w:rsidRDefault="00350C17" w:rsidP="00FF3CD3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Delivered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15% REVPAR growth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through yield optimisation and pricing strategy.</w:t>
      </w:r>
    </w:p>
    <w:p w14:paraId="4E873DA0" w14:textId="77777777" w:rsidR="00350C17" w:rsidRPr="00350C17" w:rsidRDefault="00350C17" w:rsidP="00FF3CD3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Supported IHG &amp; Hilton on new-build project structures and brand execution.</w:t>
      </w:r>
    </w:p>
    <w:p w14:paraId="3554026F" w14:textId="77777777" w:rsidR="00350C17" w:rsidRPr="00350C17" w:rsidRDefault="00350C17" w:rsidP="00FF3CD3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Advised owners on acquisitions, disposals, performance recovery, and organisational design.</w:t>
      </w:r>
    </w:p>
    <w:p w14:paraId="72EE37F5" w14:textId="77777777" w:rsidR="00350C17" w:rsidRPr="00350C17" w:rsidRDefault="00350C17" w:rsidP="00FF3CD3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Coached senior leaders to improve decision-making, engagement, and retention.</w:t>
      </w:r>
    </w:p>
    <w:p w14:paraId="37E5B7D4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6E183761">
          <v:rect id="_x0000_i1034" style="width:0;height:1.5pt" o:hralign="center" o:hrstd="t" o:hr="t" fillcolor="#a0a0a0" stroked="f"/>
        </w:pict>
      </w:r>
    </w:p>
    <w:p w14:paraId="02CA0361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De Vere / Principal Hayley / Starwood Capital (2010–2019)</w:t>
      </w:r>
    </w:p>
    <w:p w14:paraId="1AF05F08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Regional Operations Director / Group Director of F&amp;B / Regional General Manager</w:t>
      </w:r>
    </w:p>
    <w:p w14:paraId="127A71A1" w14:textId="77777777" w:rsidR="00350C17" w:rsidRPr="00350C17" w:rsidRDefault="00350C17" w:rsidP="00FF3CD3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Added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£27m asset value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through forecasting improvements and commercial controls.</w:t>
      </w:r>
    </w:p>
    <w:p w14:paraId="7E65EF0C" w14:textId="77777777" w:rsidR="00350C17" w:rsidRPr="00350C17" w:rsidRDefault="00350C17" w:rsidP="00FF3CD3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Led operational transitions during portfolio sales and ownership changes.</w:t>
      </w:r>
    </w:p>
    <w:p w14:paraId="27909D17" w14:textId="77777777" w:rsidR="00350C17" w:rsidRPr="00350C17" w:rsidRDefault="00350C17" w:rsidP="00FF3CD3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Restructured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£73m F&amp;B division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, reversing years of underperformance.</w:t>
      </w:r>
    </w:p>
    <w:p w14:paraId="71E74D66" w14:textId="77777777" w:rsidR="00350C17" w:rsidRPr="00350C17" w:rsidRDefault="00350C17" w:rsidP="00FF3CD3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Managed high-profile training partnerships (Jaguar Land Rover, Barclays).</w:t>
      </w:r>
    </w:p>
    <w:p w14:paraId="51913E49" w14:textId="77777777" w:rsidR="00350C17" w:rsidRPr="00350C17" w:rsidRDefault="00350C17" w:rsidP="00FF3CD3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Directed operational response during the Grenfell Enquiry.</w:t>
      </w:r>
    </w:p>
    <w:p w14:paraId="037C203C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321170E3">
          <v:rect id="_x0000_i1035" style="width:0;height:1.5pt" o:hralign="center" o:hrstd="t" o:hr="t" fillcolor="#a0a0a0" stroked="f"/>
        </w:pict>
      </w:r>
    </w:p>
    <w:p w14:paraId="4BED4FEC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Millennium &amp; Copthorne Hotels — Area General Manager, South (1999–2010)</w:t>
      </w:r>
    </w:p>
    <w:p w14:paraId="6A1FFE6D" w14:textId="77777777" w:rsidR="00350C17" w:rsidRPr="00350C17" w:rsidRDefault="00350C17" w:rsidP="00FF3CD3">
      <w:pPr>
        <w:numPr>
          <w:ilvl w:val="0"/>
          <w:numId w:val="10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Delivered turnaround across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8 major UK hotels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with consistent budget outperformance.</w:t>
      </w:r>
    </w:p>
    <w:p w14:paraId="687098CD" w14:textId="77777777" w:rsidR="00350C17" w:rsidRPr="00350C17" w:rsidRDefault="00350C17" w:rsidP="00FF3CD3">
      <w:pPr>
        <w:numPr>
          <w:ilvl w:val="0"/>
          <w:numId w:val="10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Executed multi-million-pound refurbishments including Chelsea Village → dual-branded hotels.</w:t>
      </w:r>
    </w:p>
    <w:p w14:paraId="42A2DE51" w14:textId="7C492723" w:rsidR="00350C17" w:rsidRPr="00350C17" w:rsidRDefault="00350C17" w:rsidP="00FF3CD3">
      <w:pPr>
        <w:numPr>
          <w:ilvl w:val="0"/>
          <w:numId w:val="10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Partnered with </w:t>
      </w:r>
      <w:r w:rsidR="00046004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a 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celebrity chef to create award-winning restaurant concepts.</w:t>
      </w:r>
    </w:p>
    <w:p w14:paraId="7D37AE33" w14:textId="77777777" w:rsidR="00350C17" w:rsidRPr="00350C17" w:rsidRDefault="00350C17" w:rsidP="00FF3CD3">
      <w:pPr>
        <w:numPr>
          <w:ilvl w:val="0"/>
          <w:numId w:val="10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Multiple awards: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GM of the Year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, </w:t>
      </w: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Hotel of the Year</w:t>
      </w: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, F&amp;B Excellence.</w:t>
      </w:r>
    </w:p>
    <w:p w14:paraId="5C22E67E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622476A0">
          <v:rect id="_x0000_i1036" style="width:0;height:1.5pt" o:hralign="center" o:hrstd="t" o:hr="t" fillcolor="#a0a0a0" stroked="f"/>
        </w:pict>
      </w:r>
    </w:p>
    <w:p w14:paraId="41F1554D" w14:textId="77777777" w:rsidR="00350C17" w:rsidRPr="00350C17" w:rsidRDefault="00350C17" w:rsidP="00FF3CD3">
      <w:pPr>
        <w:spacing w:after="0" w:line="276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General Manager Roles — Choice Hotels, Hilton UK, Private Groups (1994–1999)</w:t>
      </w:r>
    </w:p>
    <w:p w14:paraId="62624988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Consistent record of improving revenue, culture, guest satisfaction, and operational outcomes.</w:t>
      </w:r>
    </w:p>
    <w:p w14:paraId="2C4E334D" w14:textId="357CBB30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lastRenderedPageBreak/>
        <w:t>EDUCATION &amp; PROFESSIONAL DEVELOPMENT</w:t>
      </w:r>
    </w:p>
    <w:p w14:paraId="4F12D070" w14:textId="77777777" w:rsidR="00350C17" w:rsidRPr="00350C17" w:rsidRDefault="00350C17" w:rsidP="00FF3CD3">
      <w:pPr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OND — Hotel &amp; Catering Management (Cambridge College)</w:t>
      </w:r>
    </w:p>
    <w:p w14:paraId="1FD32CC2" w14:textId="77777777" w:rsidR="00350C17" w:rsidRPr="00350C17" w:rsidRDefault="00350C17" w:rsidP="00FF3CD3">
      <w:pPr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HND — Hotel &amp; Catering Management (Colchester Institute)</w:t>
      </w:r>
    </w:p>
    <w:p w14:paraId="0368E0AD" w14:textId="77777777" w:rsidR="00350C17" w:rsidRPr="00350C17" w:rsidRDefault="00350C17" w:rsidP="00FF3CD3">
      <w:pPr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Food &amp; Beverage Trainee Programme — Hotel Okura, Amsterdam</w:t>
      </w:r>
    </w:p>
    <w:p w14:paraId="69800A49" w14:textId="77777777" w:rsidR="00350C17" w:rsidRPr="00350C17" w:rsidRDefault="00350C17" w:rsidP="00FF3CD3">
      <w:pPr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Management Graduate Programme — </w:t>
      </w:r>
      <w:proofErr w:type="spellStart"/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Stakis</w:t>
      </w:r>
      <w:proofErr w:type="spellEnd"/>
      <w:r w:rsidRPr="00350C1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Hotels</w:t>
      </w:r>
    </w:p>
    <w:p w14:paraId="7017909F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74DF28AA">
          <v:rect id="_x0000_i1038" style="width:0;height:1.5pt" o:hralign="center" o:hrstd="t" o:hr="t" fillcolor="#a0a0a0" stroked="f"/>
        </w:pict>
      </w:r>
    </w:p>
    <w:p w14:paraId="53141880" w14:textId="376F409A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t>PROFESSIONAL MEMBERSHIP</w:t>
      </w:r>
    </w:p>
    <w:p w14:paraId="44FCC057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b/>
          <w:bCs/>
          <w:kern w:val="0"/>
          <w:sz w:val="18"/>
          <w:szCs w:val="18"/>
          <w:lang w:eastAsia="en-GB"/>
          <w14:ligatures w14:val="none"/>
        </w:rPr>
        <w:t>Member, Institute of Hospitality (MIH)</w:t>
      </w:r>
    </w:p>
    <w:p w14:paraId="2F6B9B47" w14:textId="77777777" w:rsidR="00350C17" w:rsidRPr="00350C17" w:rsidRDefault="00350C17" w:rsidP="00FF3CD3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350C17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pict w14:anchorId="3027F30D">
          <v:rect id="_x0000_i1039" style="width:0;height:1.5pt" o:hralign="center" o:hrstd="t" o:hr="t" fillcolor="#a0a0a0" stroked="f"/>
        </w:pict>
      </w:r>
    </w:p>
    <w:p w14:paraId="4E30CC2F" w14:textId="1E6AB299" w:rsidR="00350C17" w:rsidRPr="00350C17" w:rsidRDefault="00350C17" w:rsidP="00FF3CD3">
      <w:pPr>
        <w:spacing w:after="0" w:line="360" w:lineRule="auto"/>
        <w:outlineLvl w:val="0"/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</w:pPr>
      <w:r w:rsidRPr="00350C17">
        <w:rPr>
          <w:rFonts w:ascii="Helvetica" w:eastAsia="Times New Roman" w:hAnsi="Helvetica" w:cs="Calibri"/>
          <w:b/>
          <w:bCs/>
          <w:kern w:val="36"/>
          <w:lang w:eastAsia="en-GB"/>
          <w14:ligatures w14:val="none"/>
        </w:rPr>
        <w:t>LEADERSHIP BRAND STATEMENT</w:t>
      </w:r>
    </w:p>
    <w:p w14:paraId="06BC7AAF" w14:textId="3EB2D178" w:rsidR="005B7336" w:rsidRPr="00FF3CD3" w:rsidRDefault="00350C17" w:rsidP="00FF3CD3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“I create high-performance hotel environments where people thrive, teams align, and assets outperform.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br/>
        <w:t>My leadership philosophy is built on trust, clarity, and commercial discipline</w:t>
      </w:r>
      <w:r w:rsidRPr="00FF3CD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,</w:t>
      </w:r>
      <w:r w:rsidRPr="00350C17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 xml:space="preserve"> because culture drives profit.”</w:t>
      </w:r>
    </w:p>
    <w:sectPr w:rsidR="005B7336" w:rsidRPr="00FF3CD3" w:rsidSect="00046004">
      <w:pgSz w:w="12240" w:h="15840"/>
      <w:pgMar w:top="113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2DA2" w14:textId="77777777" w:rsidR="00D40E95" w:rsidRDefault="00D40E95" w:rsidP="00FF3CD3">
      <w:pPr>
        <w:spacing w:after="0" w:line="240" w:lineRule="auto"/>
      </w:pPr>
      <w:r>
        <w:separator/>
      </w:r>
    </w:p>
  </w:endnote>
  <w:endnote w:type="continuationSeparator" w:id="0">
    <w:p w14:paraId="0CC5AB4B" w14:textId="77777777" w:rsidR="00D40E95" w:rsidRDefault="00D40E95" w:rsidP="00FF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E4CD" w14:textId="77777777" w:rsidR="00D40E95" w:rsidRDefault="00D40E95" w:rsidP="00FF3CD3">
      <w:pPr>
        <w:spacing w:after="0" w:line="240" w:lineRule="auto"/>
      </w:pPr>
      <w:r>
        <w:separator/>
      </w:r>
    </w:p>
  </w:footnote>
  <w:footnote w:type="continuationSeparator" w:id="0">
    <w:p w14:paraId="7E90B85A" w14:textId="77777777" w:rsidR="00D40E95" w:rsidRDefault="00D40E95" w:rsidP="00FF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969"/>
    <w:multiLevelType w:val="multilevel"/>
    <w:tmpl w:val="6E4E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1972"/>
    <w:multiLevelType w:val="multilevel"/>
    <w:tmpl w:val="9B2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535F"/>
    <w:multiLevelType w:val="multilevel"/>
    <w:tmpl w:val="5A0E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C0A20"/>
    <w:multiLevelType w:val="hybridMultilevel"/>
    <w:tmpl w:val="6498A41A"/>
    <w:lvl w:ilvl="0" w:tplc="8DDC9BE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06AB"/>
    <w:multiLevelType w:val="multilevel"/>
    <w:tmpl w:val="1DA6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44CB6"/>
    <w:multiLevelType w:val="multilevel"/>
    <w:tmpl w:val="506A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C6EC1"/>
    <w:multiLevelType w:val="hybridMultilevel"/>
    <w:tmpl w:val="4D02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41E76"/>
    <w:multiLevelType w:val="hybridMultilevel"/>
    <w:tmpl w:val="AB68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F3F5D"/>
    <w:multiLevelType w:val="hybridMultilevel"/>
    <w:tmpl w:val="0BAAC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37BD8"/>
    <w:multiLevelType w:val="hybridMultilevel"/>
    <w:tmpl w:val="D57E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3311"/>
    <w:multiLevelType w:val="hybridMultilevel"/>
    <w:tmpl w:val="A6D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E3901"/>
    <w:multiLevelType w:val="multilevel"/>
    <w:tmpl w:val="4C24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6270C"/>
    <w:multiLevelType w:val="hybridMultilevel"/>
    <w:tmpl w:val="6A28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50E46"/>
    <w:multiLevelType w:val="multilevel"/>
    <w:tmpl w:val="74D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95305"/>
    <w:multiLevelType w:val="hybridMultilevel"/>
    <w:tmpl w:val="4F70EF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957C3D"/>
    <w:multiLevelType w:val="multilevel"/>
    <w:tmpl w:val="123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D19C6"/>
    <w:multiLevelType w:val="multilevel"/>
    <w:tmpl w:val="0FF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83656"/>
    <w:multiLevelType w:val="hybridMultilevel"/>
    <w:tmpl w:val="82D80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00242"/>
    <w:multiLevelType w:val="multilevel"/>
    <w:tmpl w:val="842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55646"/>
    <w:multiLevelType w:val="multilevel"/>
    <w:tmpl w:val="F5E6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05EC6"/>
    <w:multiLevelType w:val="hybridMultilevel"/>
    <w:tmpl w:val="2520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048726">
    <w:abstractNumId w:val="5"/>
  </w:num>
  <w:num w:numId="2" w16cid:durableId="1841459940">
    <w:abstractNumId w:val="0"/>
  </w:num>
  <w:num w:numId="3" w16cid:durableId="1682392171">
    <w:abstractNumId w:val="16"/>
  </w:num>
  <w:num w:numId="4" w16cid:durableId="1300114730">
    <w:abstractNumId w:val="19"/>
  </w:num>
  <w:num w:numId="5" w16cid:durableId="1764765317">
    <w:abstractNumId w:val="18"/>
  </w:num>
  <w:num w:numId="6" w16cid:durableId="799423446">
    <w:abstractNumId w:val="15"/>
  </w:num>
  <w:num w:numId="7" w16cid:durableId="1521234043">
    <w:abstractNumId w:val="4"/>
  </w:num>
  <w:num w:numId="8" w16cid:durableId="2080400262">
    <w:abstractNumId w:val="2"/>
  </w:num>
  <w:num w:numId="9" w16cid:durableId="1545168813">
    <w:abstractNumId w:val="13"/>
  </w:num>
  <w:num w:numId="10" w16cid:durableId="1639451349">
    <w:abstractNumId w:val="1"/>
  </w:num>
  <w:num w:numId="11" w16cid:durableId="1925213891">
    <w:abstractNumId w:val="11"/>
  </w:num>
  <w:num w:numId="12" w16cid:durableId="1874342446">
    <w:abstractNumId w:val="14"/>
  </w:num>
  <w:num w:numId="13" w16cid:durableId="650401005">
    <w:abstractNumId w:val="9"/>
  </w:num>
  <w:num w:numId="14" w16cid:durableId="2044595461">
    <w:abstractNumId w:val="7"/>
  </w:num>
  <w:num w:numId="15" w16cid:durableId="137385604">
    <w:abstractNumId w:val="12"/>
  </w:num>
  <w:num w:numId="16" w16cid:durableId="1197111668">
    <w:abstractNumId w:val="6"/>
  </w:num>
  <w:num w:numId="17" w16cid:durableId="1775588155">
    <w:abstractNumId w:val="8"/>
  </w:num>
  <w:num w:numId="18" w16cid:durableId="1176115540">
    <w:abstractNumId w:val="20"/>
  </w:num>
  <w:num w:numId="19" w16cid:durableId="658771276">
    <w:abstractNumId w:val="10"/>
  </w:num>
  <w:num w:numId="20" w16cid:durableId="1715622305">
    <w:abstractNumId w:val="17"/>
  </w:num>
  <w:num w:numId="21" w16cid:durableId="32867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7"/>
    <w:rsid w:val="00046004"/>
    <w:rsid w:val="001B0E9F"/>
    <w:rsid w:val="00350C17"/>
    <w:rsid w:val="005750C3"/>
    <w:rsid w:val="005B7336"/>
    <w:rsid w:val="00925438"/>
    <w:rsid w:val="00B46868"/>
    <w:rsid w:val="00D40E95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7A6A"/>
  <w15:chartTrackingRefBased/>
  <w15:docId w15:val="{040EF1D9-895E-4D2D-B897-217D3BF3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1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1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1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0C1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50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CD3"/>
  </w:style>
  <w:style w:type="paragraph" w:styleId="Footer">
    <w:name w:val="footer"/>
    <w:basedOn w:val="Normal"/>
    <w:link w:val="FooterChar"/>
    <w:uiPriority w:val="99"/>
    <w:unhideWhenUsed/>
    <w:rsid w:val="00FF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bell1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9A50-4ED9-4BDA-91E3-74151B41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H</dc:creator>
  <cp:keywords/>
  <dc:description/>
  <cp:lastModifiedBy>DJ H</cp:lastModifiedBy>
  <cp:revision>1</cp:revision>
  <dcterms:created xsi:type="dcterms:W3CDTF">2025-12-04T17:48:00Z</dcterms:created>
  <dcterms:modified xsi:type="dcterms:W3CDTF">2025-12-04T18:13:00Z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2edf8e54-6029-4834-85a8-185ff08647c2</vt:lpwstr>
  </property>
</Properties>
</file>